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384B4" w14:textId="26201D36" w:rsidR="00414F03" w:rsidRPr="00062F2B" w:rsidRDefault="00414F03" w:rsidP="00414F03">
      <w:pPr>
        <w:pStyle w:val="Header"/>
        <w:tabs>
          <w:tab w:val="right" w:pos="9639"/>
        </w:tabs>
        <w:rPr>
          <w:bCs/>
          <w:i/>
          <w:noProof w:val="0"/>
          <w:sz w:val="24"/>
          <w:szCs w:val="24"/>
        </w:rPr>
      </w:pPr>
      <w:bookmarkStart w:id="0" w:name="_GoBack"/>
      <w:bookmarkEnd w:id="0"/>
      <w:r w:rsidRPr="00062F2B">
        <w:rPr>
          <w:bCs/>
          <w:noProof w:val="0"/>
          <w:sz w:val="24"/>
          <w:szCs w:val="24"/>
        </w:rPr>
        <w:t>3GPP TSG-RAN WG2 Meeting #101bis</w:t>
      </w:r>
      <w:r w:rsidR="00062F2B">
        <w:rPr>
          <w:bCs/>
          <w:noProof w:val="0"/>
          <w:sz w:val="24"/>
          <w:szCs w:val="24"/>
        </w:rPr>
        <w:tab/>
        <w:t>R2-1805641</w:t>
      </w:r>
    </w:p>
    <w:p w14:paraId="76C2BD05" w14:textId="3E367505" w:rsidR="0038766F" w:rsidRPr="00062F2B" w:rsidRDefault="00414F03" w:rsidP="00CD4C7B">
      <w:pPr>
        <w:pStyle w:val="Header"/>
        <w:rPr>
          <w:bCs/>
          <w:noProof w:val="0"/>
          <w:sz w:val="24"/>
        </w:rPr>
      </w:pPr>
      <w:r w:rsidRPr="00062F2B">
        <w:rPr>
          <w:sz w:val="24"/>
          <w:szCs w:val="24"/>
          <w:lang w:eastAsia="zh-CN"/>
        </w:rPr>
        <w:t>Sanya, China, 16</w:t>
      </w:r>
      <w:r w:rsidRPr="00062F2B">
        <w:rPr>
          <w:sz w:val="24"/>
          <w:szCs w:val="24"/>
          <w:vertAlign w:val="superscript"/>
          <w:lang w:eastAsia="zh-CN"/>
        </w:rPr>
        <w:t>th</w:t>
      </w:r>
      <w:r w:rsidRPr="00062F2B">
        <w:rPr>
          <w:sz w:val="24"/>
          <w:szCs w:val="24"/>
          <w:lang w:eastAsia="zh-CN"/>
        </w:rPr>
        <w:t xml:space="preserve"> - 20</w:t>
      </w:r>
      <w:r w:rsidRPr="00062F2B">
        <w:rPr>
          <w:sz w:val="24"/>
          <w:szCs w:val="24"/>
          <w:vertAlign w:val="superscript"/>
          <w:lang w:eastAsia="zh-CN"/>
        </w:rPr>
        <w:t>th</w:t>
      </w:r>
      <w:r w:rsidRPr="00062F2B">
        <w:rPr>
          <w:sz w:val="24"/>
          <w:szCs w:val="24"/>
          <w:lang w:eastAsia="zh-CN"/>
        </w:rPr>
        <w:t xml:space="preserve"> April 2018</w:t>
      </w:r>
    </w:p>
    <w:p w14:paraId="0CBF30B6" w14:textId="77777777" w:rsidR="00414F03" w:rsidRPr="0078511C" w:rsidRDefault="00414F03" w:rsidP="00CD4C7B">
      <w:pPr>
        <w:pStyle w:val="CRCoverPage"/>
        <w:tabs>
          <w:tab w:val="left" w:pos="1985"/>
        </w:tabs>
        <w:rPr>
          <w:rFonts w:cs="Arial"/>
          <w:b/>
          <w:bCs/>
          <w:sz w:val="24"/>
        </w:rPr>
      </w:pPr>
    </w:p>
    <w:p w14:paraId="758E2B30" w14:textId="75F9D722" w:rsidR="00CD4C7B" w:rsidRPr="0078511C" w:rsidRDefault="00CD4C7B" w:rsidP="00CD4C7B">
      <w:pPr>
        <w:pStyle w:val="CRCoverPage"/>
        <w:tabs>
          <w:tab w:val="left" w:pos="1985"/>
        </w:tabs>
        <w:rPr>
          <w:rFonts w:cs="Arial"/>
          <w:b/>
          <w:bCs/>
          <w:sz w:val="24"/>
          <w:lang w:eastAsia="ja-JP"/>
        </w:rPr>
      </w:pPr>
      <w:r w:rsidRPr="0078511C">
        <w:rPr>
          <w:rFonts w:cs="Arial"/>
          <w:b/>
          <w:bCs/>
          <w:sz w:val="24"/>
        </w:rPr>
        <w:t>Agenda item:</w:t>
      </w:r>
      <w:r w:rsidRPr="0078511C">
        <w:rPr>
          <w:rFonts w:cs="Arial"/>
          <w:b/>
          <w:bCs/>
          <w:sz w:val="24"/>
        </w:rPr>
        <w:tab/>
      </w:r>
      <w:r w:rsidR="00AE01F1" w:rsidRPr="0078511C">
        <w:rPr>
          <w:rFonts w:cs="Arial"/>
          <w:b/>
          <w:bCs/>
          <w:sz w:val="24"/>
          <w:lang w:eastAsia="ja-JP"/>
        </w:rPr>
        <w:t>9.10.2.2</w:t>
      </w:r>
    </w:p>
    <w:p w14:paraId="6A1BC0C1" w14:textId="22CF88C2" w:rsidR="00CD4C7B" w:rsidRPr="0078511C" w:rsidRDefault="00CD4C7B" w:rsidP="00CD4C7B">
      <w:pPr>
        <w:tabs>
          <w:tab w:val="left" w:pos="1985"/>
        </w:tabs>
        <w:ind w:left="1985" w:hanging="1985"/>
        <w:rPr>
          <w:rFonts w:ascii="Arial" w:hAnsi="Arial" w:cs="Arial"/>
          <w:b/>
          <w:bCs/>
          <w:sz w:val="24"/>
        </w:rPr>
      </w:pPr>
      <w:r w:rsidRPr="0078511C">
        <w:rPr>
          <w:rFonts w:ascii="Arial" w:hAnsi="Arial" w:cs="Arial"/>
          <w:b/>
          <w:bCs/>
          <w:sz w:val="24"/>
        </w:rPr>
        <w:t>Source:</w:t>
      </w:r>
      <w:r w:rsidRPr="0078511C">
        <w:rPr>
          <w:rFonts w:ascii="Arial" w:hAnsi="Arial" w:cs="Arial"/>
          <w:b/>
          <w:bCs/>
          <w:sz w:val="24"/>
        </w:rPr>
        <w:tab/>
      </w:r>
      <w:r w:rsidR="001741A0" w:rsidRPr="0078511C">
        <w:rPr>
          <w:rFonts w:ascii="Arial" w:hAnsi="Arial" w:cs="Arial"/>
          <w:b/>
          <w:bCs/>
          <w:sz w:val="24"/>
        </w:rPr>
        <w:t>Nokia</w:t>
      </w:r>
      <w:r w:rsidR="00090468" w:rsidRPr="0078511C">
        <w:rPr>
          <w:rFonts w:ascii="Arial" w:hAnsi="Arial" w:cs="Arial"/>
          <w:b/>
          <w:bCs/>
          <w:sz w:val="24"/>
        </w:rPr>
        <w:t xml:space="preserve">, </w:t>
      </w:r>
      <w:r w:rsidR="00C027B6" w:rsidRPr="0078511C">
        <w:rPr>
          <w:rFonts w:ascii="Arial" w:hAnsi="Arial" w:cs="Arial"/>
          <w:b/>
          <w:bCs/>
          <w:sz w:val="24"/>
        </w:rPr>
        <w:t>Nokia</w:t>
      </w:r>
      <w:r w:rsidR="00090468" w:rsidRPr="0078511C">
        <w:rPr>
          <w:rFonts w:ascii="Arial" w:hAnsi="Arial" w:cs="Arial"/>
          <w:b/>
          <w:bCs/>
          <w:sz w:val="24"/>
        </w:rPr>
        <w:t xml:space="preserve"> Shanghai Bell</w:t>
      </w:r>
    </w:p>
    <w:p w14:paraId="45BE90BE" w14:textId="19E96BF8" w:rsidR="00CD4C7B" w:rsidRPr="0078511C" w:rsidRDefault="00CD4C7B" w:rsidP="00CD4C7B">
      <w:pPr>
        <w:ind w:left="1985" w:hanging="1985"/>
        <w:rPr>
          <w:rFonts w:ascii="Arial" w:hAnsi="Arial" w:cs="Arial"/>
          <w:b/>
          <w:bCs/>
          <w:sz w:val="24"/>
        </w:rPr>
      </w:pPr>
      <w:r w:rsidRPr="0078511C">
        <w:rPr>
          <w:rFonts w:ascii="Arial" w:hAnsi="Arial" w:cs="Arial"/>
          <w:b/>
          <w:bCs/>
          <w:sz w:val="24"/>
        </w:rPr>
        <w:t>Title:</w:t>
      </w:r>
      <w:r w:rsidRPr="0078511C">
        <w:rPr>
          <w:rFonts w:ascii="Arial" w:hAnsi="Arial" w:cs="Arial"/>
          <w:b/>
          <w:bCs/>
          <w:sz w:val="24"/>
        </w:rPr>
        <w:tab/>
      </w:r>
      <w:r w:rsidR="00DB661C" w:rsidRPr="00062F2B">
        <w:rPr>
          <w:rFonts w:ascii="Arial" w:hAnsi="Arial" w:cs="Arial"/>
          <w:b/>
          <w:bCs/>
          <w:sz w:val="24"/>
        </w:rPr>
        <w:t xml:space="preserve">Discussion on </w:t>
      </w:r>
      <w:r w:rsidR="00E400A2" w:rsidRPr="00062F2B">
        <w:rPr>
          <w:rFonts w:ascii="Arial" w:hAnsi="Arial" w:cs="Arial"/>
          <w:b/>
          <w:bCs/>
          <w:sz w:val="24"/>
        </w:rPr>
        <w:t>Destination Index in SL BSR</w:t>
      </w:r>
    </w:p>
    <w:p w14:paraId="3AC3A0B1" w14:textId="762C2306" w:rsidR="00CD4C7B" w:rsidRPr="001D43FA" w:rsidRDefault="00CD4C7B" w:rsidP="00CD4C7B">
      <w:pPr>
        <w:ind w:left="1985" w:hanging="1985"/>
        <w:rPr>
          <w:rFonts w:ascii="Arial" w:hAnsi="Arial" w:cs="Arial"/>
          <w:b/>
          <w:bCs/>
          <w:sz w:val="24"/>
        </w:rPr>
      </w:pPr>
      <w:r w:rsidRPr="00486E08">
        <w:rPr>
          <w:rFonts w:ascii="Arial" w:hAnsi="Arial" w:cs="Arial"/>
          <w:b/>
          <w:bCs/>
          <w:sz w:val="24"/>
        </w:rPr>
        <w:t>WID/SID:</w:t>
      </w:r>
      <w:r w:rsidRPr="00486E08">
        <w:rPr>
          <w:rFonts w:ascii="Arial" w:hAnsi="Arial" w:cs="Arial"/>
          <w:b/>
          <w:bCs/>
          <w:sz w:val="24"/>
        </w:rPr>
        <w:tab/>
      </w:r>
      <w:r w:rsidR="00C027B6" w:rsidRPr="00486E08">
        <w:rPr>
          <w:rFonts w:ascii="Arial" w:hAnsi="Arial" w:cs="Arial"/>
          <w:b/>
          <w:bCs/>
          <w:sz w:val="24"/>
        </w:rPr>
        <w:t>LTE_eV2X-Core</w:t>
      </w:r>
      <w:r w:rsidR="00112F1A" w:rsidRPr="00486E08">
        <w:rPr>
          <w:rFonts w:ascii="Arial" w:hAnsi="Arial" w:cs="Arial"/>
          <w:b/>
          <w:bCs/>
          <w:sz w:val="24"/>
        </w:rPr>
        <w:t xml:space="preserve"> </w:t>
      </w:r>
      <w:r w:rsidR="00D80795" w:rsidRPr="001D43FA">
        <w:rPr>
          <w:rFonts w:ascii="Arial" w:hAnsi="Arial" w:cs="Arial"/>
          <w:b/>
          <w:bCs/>
          <w:sz w:val="24"/>
        </w:rPr>
        <w:t>-</w:t>
      </w:r>
      <w:r w:rsidRPr="001D43FA">
        <w:rPr>
          <w:rFonts w:ascii="Arial" w:hAnsi="Arial" w:cs="Arial"/>
          <w:b/>
          <w:bCs/>
          <w:sz w:val="24"/>
        </w:rPr>
        <w:t xml:space="preserve"> Release</w:t>
      </w:r>
      <w:r w:rsidR="00D80795" w:rsidRPr="001D43FA">
        <w:rPr>
          <w:rFonts w:ascii="Arial" w:hAnsi="Arial" w:cs="Arial"/>
          <w:b/>
          <w:bCs/>
          <w:sz w:val="24"/>
        </w:rPr>
        <w:t xml:space="preserve"> </w:t>
      </w:r>
      <w:r w:rsidR="00970DB3" w:rsidRPr="001D43FA">
        <w:rPr>
          <w:rFonts w:ascii="Arial" w:hAnsi="Arial" w:cs="Arial"/>
          <w:b/>
          <w:bCs/>
          <w:sz w:val="24"/>
        </w:rPr>
        <w:t>15</w:t>
      </w:r>
    </w:p>
    <w:p w14:paraId="7DF86DB4" w14:textId="77777777" w:rsidR="00CD4C7B" w:rsidRPr="001D43FA" w:rsidRDefault="00CD4C7B" w:rsidP="00CD4C7B">
      <w:pPr>
        <w:tabs>
          <w:tab w:val="left" w:pos="1985"/>
        </w:tabs>
        <w:rPr>
          <w:rFonts w:ascii="Arial" w:hAnsi="Arial" w:cs="Arial"/>
          <w:b/>
          <w:bCs/>
          <w:sz w:val="24"/>
        </w:rPr>
      </w:pPr>
      <w:r w:rsidRPr="001D43FA">
        <w:rPr>
          <w:rFonts w:ascii="Arial" w:hAnsi="Arial" w:cs="Arial"/>
          <w:b/>
          <w:bCs/>
          <w:sz w:val="24"/>
        </w:rPr>
        <w:t>Document for:</w:t>
      </w:r>
      <w:r w:rsidRPr="001D43FA">
        <w:rPr>
          <w:rFonts w:ascii="Arial" w:hAnsi="Arial" w:cs="Arial"/>
          <w:b/>
          <w:bCs/>
          <w:sz w:val="24"/>
        </w:rPr>
        <w:tab/>
        <w:t>Discussion and Decision</w:t>
      </w:r>
    </w:p>
    <w:p w14:paraId="7D7657DD" w14:textId="50A0CCBB" w:rsidR="00354F53" w:rsidRPr="0078511C" w:rsidRDefault="00CD4C7B" w:rsidP="002F2D10">
      <w:pPr>
        <w:pStyle w:val="Heading1"/>
        <w:rPr>
          <w:lang w:eastAsia="zh-CN"/>
        </w:rPr>
      </w:pPr>
      <w:r w:rsidRPr="0078511C">
        <w:t>1</w:t>
      </w:r>
      <w:r w:rsidRPr="0078511C">
        <w:tab/>
      </w:r>
      <w:r w:rsidR="0056573F" w:rsidRPr="0078511C">
        <w:t>Introduction</w:t>
      </w:r>
    </w:p>
    <w:p w14:paraId="55D95895" w14:textId="52E2E07F" w:rsidR="00287A66" w:rsidRPr="00062F2B" w:rsidRDefault="00BA42CF" w:rsidP="00455842">
      <w:pPr>
        <w:jc w:val="both"/>
        <w:rPr>
          <w:rFonts w:eastAsia="MS Mincho"/>
          <w:iCs/>
          <w:lang w:eastAsia="ja-JP"/>
        </w:rPr>
      </w:pPr>
      <w:r w:rsidRPr="00062F2B">
        <w:rPr>
          <w:rFonts w:eastAsia="MS Mincho"/>
          <w:iCs/>
          <w:lang w:eastAsia="ja-JP"/>
        </w:rPr>
        <w:t xml:space="preserve">This contribution addresses the </w:t>
      </w:r>
      <w:r w:rsidR="00E3417B" w:rsidRPr="00062F2B">
        <w:rPr>
          <w:rFonts w:eastAsia="MS Mincho"/>
          <w:iCs/>
          <w:lang w:eastAsia="ja-JP"/>
        </w:rPr>
        <w:t>destination index issue in SL BSR when the same destination ID</w:t>
      </w:r>
      <w:r w:rsidR="000F5158" w:rsidRPr="00062F2B">
        <w:rPr>
          <w:rFonts w:eastAsia="MS Mincho"/>
          <w:iCs/>
          <w:lang w:eastAsia="ja-JP"/>
        </w:rPr>
        <w:t xml:space="preserve"> of one V2X services</w:t>
      </w:r>
      <w:r w:rsidR="00E3417B" w:rsidRPr="00062F2B">
        <w:rPr>
          <w:rFonts w:eastAsia="MS Mincho"/>
          <w:iCs/>
          <w:lang w:eastAsia="ja-JP"/>
        </w:rPr>
        <w:t xml:space="preserve"> is associated to multiple V2X frequencies reported in </w:t>
      </w:r>
      <w:r w:rsidR="00E3417B" w:rsidRPr="00062F2B">
        <w:rPr>
          <w:rFonts w:eastAsia="MS Mincho"/>
          <w:i/>
          <w:iCs/>
          <w:lang w:eastAsia="ja-JP"/>
        </w:rPr>
        <w:t>SidelinkUEInformation</w:t>
      </w:r>
      <w:r w:rsidR="00E3417B" w:rsidRPr="00062F2B">
        <w:rPr>
          <w:rFonts w:eastAsia="MS Mincho"/>
          <w:iCs/>
          <w:lang w:eastAsia="ja-JP"/>
        </w:rPr>
        <w:t xml:space="preserve"> message.</w:t>
      </w:r>
      <w:r w:rsidRPr="00062F2B">
        <w:rPr>
          <w:rFonts w:eastAsia="MS Mincho"/>
          <w:iCs/>
          <w:lang w:eastAsia="ja-JP"/>
        </w:rPr>
        <w:t xml:space="preserve"> </w:t>
      </w:r>
    </w:p>
    <w:p w14:paraId="127ACA6D" w14:textId="59B2B8E2" w:rsidR="00CD4C7B" w:rsidRPr="0078511C" w:rsidRDefault="00CD4C7B" w:rsidP="00CD4C7B">
      <w:pPr>
        <w:pStyle w:val="Heading1"/>
      </w:pPr>
      <w:r w:rsidRPr="0078511C">
        <w:t>2</w:t>
      </w:r>
      <w:r w:rsidRPr="0078511C">
        <w:tab/>
      </w:r>
      <w:r w:rsidR="00E3417B" w:rsidRPr="0078511C">
        <w:t>D</w:t>
      </w:r>
      <w:r w:rsidR="0054780D" w:rsidRPr="0078511C">
        <w:t>is</w:t>
      </w:r>
      <w:r w:rsidR="00E3417B" w:rsidRPr="0078511C">
        <w:t>cussion on destination index definition in SL BSR</w:t>
      </w:r>
    </w:p>
    <w:p w14:paraId="5C991270" w14:textId="2B262546" w:rsidR="00486E08" w:rsidRDefault="0054780D" w:rsidP="005823CA">
      <w:pPr>
        <w:jc w:val="both"/>
      </w:pPr>
      <w:r w:rsidRPr="00062F2B">
        <w:t>In the email discussion on destination address enhancement</w:t>
      </w:r>
      <w:r w:rsidR="0078511C" w:rsidRPr="0078511C">
        <w:t>s</w:t>
      </w:r>
      <w:r w:rsidRPr="00062F2B">
        <w:t xml:space="preserve"> [1], majority of the companies agree</w:t>
      </w:r>
      <w:r w:rsidR="0078511C" w:rsidRPr="0078511C">
        <w:t>d</w:t>
      </w:r>
      <w:r w:rsidRPr="00062F2B">
        <w:t xml:space="preserve"> UE is unlikely to have many different V2X services over multiple frequencies simultaneously. Therefore</w:t>
      </w:r>
      <w:r w:rsidR="006D336C" w:rsidRPr="00062F2B">
        <w:t>,</w:t>
      </w:r>
      <w:r w:rsidRPr="00062F2B">
        <w:t xml:space="preserve"> the enhancement on destination index to support multiple V2X services over multiple frequencies is not needed. However, following the current definition of destination index in SL BSR, the same destination ID will be mapped to different destination index</w:t>
      </w:r>
      <w:r w:rsidR="0078511C" w:rsidRPr="0078511C">
        <w:t>es</w:t>
      </w:r>
      <w:r w:rsidRPr="00062F2B">
        <w:t xml:space="preserve"> if one V2X service corresponding to th</w:t>
      </w:r>
      <w:r w:rsidR="0078511C" w:rsidRPr="0078511C">
        <w:t>is</w:t>
      </w:r>
      <w:r w:rsidRPr="00062F2B">
        <w:t xml:space="preserve"> destination ID is associated</w:t>
      </w:r>
      <w:r w:rsidR="0078511C" w:rsidRPr="0078511C">
        <w:t>/transmitted over</w:t>
      </w:r>
      <w:r w:rsidRPr="00062F2B">
        <w:t xml:space="preserve"> multiple frequencies.</w:t>
      </w:r>
      <w:r w:rsidR="000F5158" w:rsidRPr="00062F2B">
        <w:t xml:space="preserve"> Even though the number of 16 destination index is considered to be sufficient for V2X services in CA scenario in practice, </w:t>
      </w:r>
      <w:r w:rsidRPr="00062F2B">
        <w:t xml:space="preserve">the issue identified in [2] </w:t>
      </w:r>
      <w:r w:rsidR="00156E57" w:rsidRPr="00062F2B">
        <w:t>on ambiguity of the SL BSR</w:t>
      </w:r>
      <w:r w:rsidR="00CC6065" w:rsidRPr="00062F2B">
        <w:t xml:space="preserve"> using multiple destination index</w:t>
      </w:r>
      <w:r w:rsidR="0078511C">
        <w:t>es</w:t>
      </w:r>
      <w:r w:rsidR="00CC6065" w:rsidRPr="00062F2B">
        <w:t xml:space="preserve"> corresponding to one destination ID may still cause the problem </w:t>
      </w:r>
      <w:r w:rsidR="00AA45DF">
        <w:t>f</w:t>
      </w:r>
      <w:r w:rsidR="00CC6065" w:rsidRPr="00062F2B">
        <w:t>o</w:t>
      </w:r>
      <w:r w:rsidR="00AA45DF">
        <w:t>r</w:t>
      </w:r>
      <w:r w:rsidR="00CC6065" w:rsidRPr="00062F2B">
        <w:t xml:space="preserve"> eNB scheduling on multiple </w:t>
      </w:r>
      <w:r w:rsidR="000F5158" w:rsidRPr="00062F2B">
        <w:t xml:space="preserve">frequencies </w:t>
      </w:r>
      <w:r w:rsidR="00CC6065" w:rsidRPr="00062F2B">
        <w:t xml:space="preserve">for </w:t>
      </w:r>
      <w:r w:rsidR="000F5158" w:rsidRPr="00062F2B">
        <w:t>transmission of the</w:t>
      </w:r>
      <w:r w:rsidR="00CC6065" w:rsidRPr="00062F2B">
        <w:t xml:space="preserve"> reported SL data. </w:t>
      </w:r>
      <w:r w:rsidR="009355D6" w:rsidRPr="00062F2B">
        <w:t xml:space="preserve">For instance, if </w:t>
      </w:r>
      <w:r w:rsidR="000F5158" w:rsidRPr="00062F2B">
        <w:t xml:space="preserve">a </w:t>
      </w:r>
      <w:r w:rsidR="009355D6" w:rsidRPr="00062F2B">
        <w:t>UE report</w:t>
      </w:r>
      <w:r w:rsidR="000F5158" w:rsidRPr="00062F2B">
        <w:t>s</w:t>
      </w:r>
      <w:r w:rsidR="009355D6" w:rsidRPr="00062F2B">
        <w:t xml:space="preserve"> two SL BSR</w:t>
      </w:r>
      <w:r w:rsidR="00AA45DF">
        <w:t>s</w:t>
      </w:r>
      <w:r w:rsidR="009355D6" w:rsidRPr="00062F2B">
        <w:t xml:space="preserve"> using destination index</w:t>
      </w:r>
      <w:r w:rsidR="00AA45DF">
        <w:t>es</w:t>
      </w:r>
      <w:r w:rsidR="009355D6" w:rsidRPr="00062F2B">
        <w:t xml:space="preserve"> corresponding to the same destination ID, it is not fully clear to the eNB whether the sum of both BSR reports represents the total amount of the data of the V2X service, or only one of them represents the actual data amount</w:t>
      </w:r>
      <w:r w:rsidR="000F5158" w:rsidRPr="00062F2B">
        <w:t xml:space="preserve"> in the buffer</w:t>
      </w:r>
      <w:r w:rsidR="009355D6" w:rsidRPr="00062F2B">
        <w:t xml:space="preserve">. </w:t>
      </w:r>
      <w:r w:rsidR="00C6361C" w:rsidRPr="00062F2B">
        <w:t>In addition, t</w:t>
      </w:r>
      <w:r w:rsidR="00AA45DF">
        <w:t>here</w:t>
      </w:r>
      <w:r w:rsidR="00C6361C" w:rsidRPr="00062F2B">
        <w:t xml:space="preserve"> seems</w:t>
      </w:r>
      <w:r w:rsidR="00AA45DF">
        <w:t xml:space="preserve"> to be</w:t>
      </w:r>
      <w:r w:rsidR="00C6361C" w:rsidRPr="00062F2B">
        <w:t xml:space="preserve"> no strong reason why </w:t>
      </w:r>
      <w:r w:rsidR="00AA45DF">
        <w:t xml:space="preserve">the </w:t>
      </w:r>
      <w:r w:rsidR="00C6361C" w:rsidRPr="00062F2B">
        <w:t>same destination ID associated to the different frequenc</w:t>
      </w:r>
      <w:r w:rsidR="000F5158" w:rsidRPr="00062F2B">
        <w:t>ies</w:t>
      </w:r>
      <w:r w:rsidR="00C6361C" w:rsidRPr="00062F2B">
        <w:t xml:space="preserve"> should be mapped to the different destination index</w:t>
      </w:r>
      <w:r w:rsidR="00AA45DF">
        <w:t>es</w:t>
      </w:r>
      <w:r w:rsidR="00C6361C" w:rsidRPr="00062F2B">
        <w:t xml:space="preserve">. Based on </w:t>
      </w:r>
      <w:r w:rsidR="00C6361C" w:rsidRPr="00062F2B">
        <w:rPr>
          <w:i/>
        </w:rPr>
        <w:t>SidelinkUEInformation</w:t>
      </w:r>
      <w:r w:rsidR="00C6361C" w:rsidRPr="00062F2B">
        <w:t xml:space="preserve"> message, the eNB knows which frequencies the V2X service identified by destination ID is associated to. If there is one to one mapping between destination ID and destination index</w:t>
      </w:r>
      <w:r w:rsidR="00486E08">
        <w:t>,</w:t>
      </w:r>
      <w:r w:rsidR="00C6361C" w:rsidRPr="00062F2B">
        <w:t xml:space="preserve"> regardless the number of frequencies that the destination ID is associated to, the eNB should be able to allocate the resources on the relevant fr</w:t>
      </w:r>
      <w:r w:rsidR="0020693A" w:rsidRPr="00062F2B">
        <w:t xml:space="preserve">equencies upon receiving the SL BSR that include the destination index with one-to-one mapping to destination ID. It is also up to eNB scheduler to determine how the reported data in SL BSR </w:t>
      </w:r>
      <w:r w:rsidR="00455842" w:rsidRPr="00062F2B">
        <w:t>should</w:t>
      </w:r>
      <w:r w:rsidR="0020693A" w:rsidRPr="00062F2B">
        <w:t xml:space="preserve"> be split or duplicated over multiple frequencies. </w:t>
      </w:r>
    </w:p>
    <w:p w14:paraId="219165D2" w14:textId="2D89D073" w:rsidR="00E3417B" w:rsidRPr="00062F2B" w:rsidRDefault="0020693A" w:rsidP="005823CA">
      <w:pPr>
        <w:jc w:val="both"/>
      </w:pPr>
      <w:r w:rsidRPr="00062F2B">
        <w:t xml:space="preserve">Hence, we propose to update the destination index definition of SL BSR in </w:t>
      </w:r>
      <w:r w:rsidR="00486E08">
        <w:t xml:space="preserve">LTE Rel-15 MAC specification </w:t>
      </w:r>
      <w:r w:rsidR="00486E08">
        <w:fldChar w:fldCharType="begin"/>
      </w:r>
      <w:r w:rsidR="00486E08">
        <w:instrText xml:space="preserve"> REF _Ref510710532 \r \h </w:instrText>
      </w:r>
      <w:r w:rsidR="00486E08">
        <w:fldChar w:fldCharType="separate"/>
      </w:r>
      <w:r w:rsidR="00486E08">
        <w:t>[3]</w:t>
      </w:r>
      <w:r w:rsidR="00486E08">
        <w:fldChar w:fldCharType="end"/>
      </w:r>
      <w:r w:rsidR="00486E08" w:rsidRPr="00062F2B">
        <w:t xml:space="preserve"> </w:t>
      </w:r>
      <w:r w:rsidRPr="00062F2B">
        <w:t>as follow</w:t>
      </w:r>
      <w:r w:rsidR="00486E08">
        <w:t>s</w:t>
      </w:r>
      <w:r w:rsidR="001D43FA">
        <w:t xml:space="preserve"> (please note the </w:t>
      </w:r>
      <w:r w:rsidR="001D43FA" w:rsidRPr="00062F2B">
        <w:rPr>
          <w:highlight w:val="yellow"/>
        </w:rPr>
        <w:t>highlighted part</w:t>
      </w:r>
      <w:r w:rsidR="001D43FA">
        <w:t>)</w:t>
      </w:r>
      <w:r w:rsidRPr="00062F2B">
        <w:t>:</w:t>
      </w:r>
    </w:p>
    <w:p w14:paraId="7F1F27DE" w14:textId="1D16B4EF" w:rsidR="008B1F36" w:rsidRPr="00062F2B" w:rsidRDefault="008B1F36" w:rsidP="008B1F36">
      <w:pPr>
        <w:pStyle w:val="B1"/>
        <w:pBdr>
          <w:top w:val="single" w:sz="4" w:space="1" w:color="auto"/>
          <w:left w:val="single" w:sz="4" w:space="4" w:color="auto"/>
          <w:bottom w:val="single" w:sz="4" w:space="1" w:color="auto"/>
          <w:right w:val="single" w:sz="4" w:space="4" w:color="auto"/>
        </w:pBdr>
        <w:ind w:left="284"/>
        <w:rPr>
          <w:color w:val="FF0000"/>
          <w:lang w:eastAsia="zh-CN"/>
        </w:rPr>
      </w:pPr>
      <w:r w:rsidRPr="00062F2B">
        <w:rPr>
          <w:lang w:eastAsia="zh-CN"/>
        </w:rPr>
        <w:t>Destination Index: The Destination Index field identifies the ProSe Destination</w:t>
      </w:r>
      <w:r w:rsidRPr="00062F2B">
        <w:rPr>
          <w:lang w:eastAsia="zh-TW"/>
        </w:rPr>
        <w:t xml:space="preserve"> or </w:t>
      </w:r>
      <w:r w:rsidRPr="00062F2B">
        <w:rPr>
          <w:lang w:eastAsia="zh-CN"/>
        </w:rPr>
        <w:t xml:space="preserve">the destination for V2X sidelink communication. The length of this field is 4 bits. The value is set to the index of the destination reported in </w:t>
      </w:r>
      <w:r w:rsidRPr="0078511C">
        <w:rPr>
          <w:i/>
          <w:lang w:eastAsia="zh-CN"/>
        </w:rPr>
        <w:t>d</w:t>
      </w:r>
      <w:r w:rsidRPr="0078511C">
        <w:rPr>
          <w:i/>
        </w:rPr>
        <w:t>estination</w:t>
      </w:r>
      <w:r w:rsidRPr="0078511C">
        <w:rPr>
          <w:i/>
          <w:lang w:eastAsia="zh-CN"/>
        </w:rPr>
        <w:t>InfoList</w:t>
      </w:r>
      <w:r w:rsidRPr="00062F2B">
        <w:rPr>
          <w:lang w:eastAsia="zh-CN"/>
        </w:rPr>
        <w:t xml:space="preserve"> or </w:t>
      </w:r>
      <w:r w:rsidRPr="0078511C">
        <w:rPr>
          <w:i/>
        </w:rPr>
        <w:t xml:space="preserve">v2x-DestinationInfoList </w:t>
      </w:r>
      <w:r w:rsidRPr="00062F2B">
        <w:rPr>
          <w:lang w:eastAsia="zh-CN"/>
        </w:rPr>
        <w:t xml:space="preserve">and if multiple such lists are reported, the value is indexed sequentially across all the lists in the same order as specified in [8]. </w:t>
      </w:r>
      <w:r w:rsidRPr="00062F2B">
        <w:rPr>
          <w:color w:val="000000" w:themeColor="text1"/>
          <w:highlight w:val="yellow"/>
          <w:lang w:eastAsia="zh-CN"/>
        </w:rPr>
        <w:t>However</w:t>
      </w:r>
      <w:r w:rsidR="001D43FA" w:rsidRPr="00062F2B">
        <w:rPr>
          <w:color w:val="000000" w:themeColor="text1"/>
          <w:highlight w:val="yellow"/>
          <w:lang w:eastAsia="zh-CN"/>
        </w:rPr>
        <w:t>,</w:t>
      </w:r>
      <w:r w:rsidRPr="00062F2B">
        <w:rPr>
          <w:color w:val="000000" w:themeColor="text1"/>
          <w:highlight w:val="yellow"/>
          <w:lang w:eastAsia="zh-CN"/>
        </w:rPr>
        <w:t xml:space="preserve"> the same </w:t>
      </w:r>
      <w:r w:rsidR="001D43FA" w:rsidRPr="00062F2B">
        <w:rPr>
          <w:color w:val="000000" w:themeColor="text1"/>
          <w:highlight w:val="yellow"/>
          <w:lang w:eastAsia="zh-CN"/>
        </w:rPr>
        <w:t>D</w:t>
      </w:r>
      <w:r w:rsidRPr="00062F2B">
        <w:rPr>
          <w:color w:val="000000" w:themeColor="text1"/>
          <w:highlight w:val="yellow"/>
          <w:lang w:eastAsia="zh-CN"/>
        </w:rPr>
        <w:t xml:space="preserve">estination </w:t>
      </w:r>
      <w:r w:rsidR="001D43FA" w:rsidRPr="00062F2B">
        <w:rPr>
          <w:color w:val="000000" w:themeColor="text1"/>
          <w:highlight w:val="yellow"/>
          <w:lang w:eastAsia="zh-CN"/>
        </w:rPr>
        <w:t>I</w:t>
      </w:r>
      <w:r w:rsidRPr="00062F2B">
        <w:rPr>
          <w:color w:val="000000" w:themeColor="text1"/>
          <w:highlight w:val="yellow"/>
          <w:lang w:eastAsia="zh-CN"/>
        </w:rPr>
        <w:t xml:space="preserve">ndex shall be given to the same destination ID for V2X sidelink communication included in </w:t>
      </w:r>
      <w:r w:rsidRPr="00062F2B">
        <w:rPr>
          <w:i/>
          <w:color w:val="000000" w:themeColor="text1"/>
          <w:highlight w:val="yellow"/>
          <w:lang w:eastAsia="zh-CN"/>
        </w:rPr>
        <w:t>v2x</w:t>
      </w:r>
      <w:r w:rsidR="001D43FA" w:rsidRPr="00062F2B">
        <w:rPr>
          <w:i/>
          <w:color w:val="000000" w:themeColor="text1"/>
          <w:highlight w:val="yellow"/>
          <w:lang w:eastAsia="zh-CN"/>
        </w:rPr>
        <w:t>-</w:t>
      </w:r>
      <w:r w:rsidRPr="00062F2B">
        <w:rPr>
          <w:i/>
          <w:color w:val="000000" w:themeColor="text1"/>
          <w:highlight w:val="yellow"/>
          <w:lang w:eastAsia="zh-CN"/>
        </w:rPr>
        <w:t>DestinationInfoList</w:t>
      </w:r>
      <w:r w:rsidR="001D43FA" w:rsidRPr="00062F2B">
        <w:rPr>
          <w:i/>
          <w:color w:val="000000" w:themeColor="text1"/>
          <w:highlight w:val="yellow"/>
          <w:lang w:eastAsia="zh-CN"/>
        </w:rPr>
        <w:t>,</w:t>
      </w:r>
      <w:r w:rsidRPr="00062F2B">
        <w:rPr>
          <w:color w:val="000000" w:themeColor="text1"/>
          <w:highlight w:val="yellow"/>
          <w:lang w:eastAsia="zh-CN"/>
        </w:rPr>
        <w:t xml:space="preserve"> corresponding to different </w:t>
      </w:r>
      <w:r w:rsidRPr="00062F2B">
        <w:rPr>
          <w:i/>
          <w:color w:val="000000" w:themeColor="text1"/>
          <w:highlight w:val="yellow"/>
          <w:lang w:eastAsia="zh-CN"/>
        </w:rPr>
        <w:t>CarrierFreqCommTx</w:t>
      </w:r>
      <w:r w:rsidRPr="00062F2B">
        <w:rPr>
          <w:color w:val="000000" w:themeColor="text1"/>
          <w:highlight w:val="yellow"/>
          <w:lang w:eastAsia="zh-CN"/>
        </w:rPr>
        <w:t>;</w:t>
      </w:r>
    </w:p>
    <w:p w14:paraId="6A30F4F3" w14:textId="390D5A8A" w:rsidR="0020693A" w:rsidRDefault="008B1F36" w:rsidP="005823CA">
      <w:pPr>
        <w:jc w:val="both"/>
        <w:rPr>
          <w:b/>
        </w:rPr>
      </w:pPr>
      <w:r w:rsidRPr="00062F2B">
        <w:rPr>
          <w:b/>
        </w:rPr>
        <w:t xml:space="preserve">Proposal 1: </w:t>
      </w:r>
      <w:r w:rsidR="001C6812" w:rsidRPr="00062F2B">
        <w:rPr>
          <w:b/>
        </w:rPr>
        <w:t xml:space="preserve">RAN2 is kindly asked to agree the proposed change of </w:t>
      </w:r>
      <w:r w:rsidR="001D43FA">
        <w:rPr>
          <w:b/>
        </w:rPr>
        <w:t>D</w:t>
      </w:r>
      <w:r w:rsidR="001C6812" w:rsidRPr="00062F2B">
        <w:rPr>
          <w:b/>
        </w:rPr>
        <w:t>es</w:t>
      </w:r>
      <w:r w:rsidR="00455842" w:rsidRPr="00062F2B">
        <w:rPr>
          <w:b/>
        </w:rPr>
        <w:t>ti</w:t>
      </w:r>
      <w:r w:rsidR="001C6812" w:rsidRPr="00062F2B">
        <w:rPr>
          <w:b/>
        </w:rPr>
        <w:t xml:space="preserve">nation </w:t>
      </w:r>
      <w:r w:rsidR="001D43FA">
        <w:rPr>
          <w:b/>
        </w:rPr>
        <w:t>I</w:t>
      </w:r>
      <w:r w:rsidR="001C6812" w:rsidRPr="00062F2B">
        <w:rPr>
          <w:b/>
        </w:rPr>
        <w:t xml:space="preserve">ndex definition to have one-to-one mapping of destination ID reported in </w:t>
      </w:r>
      <w:r w:rsidR="001C6812" w:rsidRPr="00062F2B">
        <w:rPr>
          <w:b/>
          <w:i/>
        </w:rPr>
        <w:t>SidelinkUEInformation</w:t>
      </w:r>
      <w:r w:rsidR="001C6812" w:rsidRPr="00062F2B">
        <w:rPr>
          <w:b/>
        </w:rPr>
        <w:t xml:space="preserve"> and </w:t>
      </w:r>
      <w:r w:rsidR="001D43FA">
        <w:rPr>
          <w:b/>
        </w:rPr>
        <w:t>D</w:t>
      </w:r>
      <w:r w:rsidR="001C6812" w:rsidRPr="00062F2B">
        <w:rPr>
          <w:b/>
        </w:rPr>
        <w:t xml:space="preserve">estination </w:t>
      </w:r>
      <w:r w:rsidR="001D43FA">
        <w:rPr>
          <w:b/>
        </w:rPr>
        <w:t>I</w:t>
      </w:r>
      <w:r w:rsidR="001C6812" w:rsidRPr="00062F2B">
        <w:rPr>
          <w:b/>
        </w:rPr>
        <w:t>ndex used in SL BSR.</w:t>
      </w:r>
    </w:p>
    <w:p w14:paraId="50572345" w14:textId="39F0DE51" w:rsidR="00062F2B" w:rsidRDefault="00062F2B" w:rsidP="005823CA">
      <w:pPr>
        <w:jc w:val="both"/>
        <w:rPr>
          <w:b/>
        </w:rPr>
      </w:pPr>
    </w:p>
    <w:p w14:paraId="0B1EE92E" w14:textId="066D5549" w:rsidR="00062F2B" w:rsidRDefault="00062F2B" w:rsidP="005823CA">
      <w:pPr>
        <w:jc w:val="both"/>
        <w:rPr>
          <w:b/>
        </w:rPr>
      </w:pPr>
    </w:p>
    <w:p w14:paraId="2B6D7736" w14:textId="77777777" w:rsidR="00062F2B" w:rsidRPr="00062F2B" w:rsidRDefault="00062F2B" w:rsidP="005823CA">
      <w:pPr>
        <w:jc w:val="both"/>
        <w:rPr>
          <w:b/>
        </w:rPr>
      </w:pPr>
    </w:p>
    <w:p w14:paraId="5FF0E443" w14:textId="08C18541" w:rsidR="00CD4C7B" w:rsidRPr="0078511C" w:rsidRDefault="00CD4C7B" w:rsidP="00CD4C7B">
      <w:pPr>
        <w:pStyle w:val="Heading1"/>
      </w:pPr>
      <w:r w:rsidRPr="0078511C">
        <w:lastRenderedPageBreak/>
        <w:t>3</w:t>
      </w:r>
      <w:r w:rsidRPr="0078511C">
        <w:tab/>
      </w:r>
      <w:r w:rsidR="00FD54AB" w:rsidRPr="0078511C">
        <w:t>Conclusion</w:t>
      </w:r>
    </w:p>
    <w:p w14:paraId="190C81D1" w14:textId="1B288FCD" w:rsidR="00CD4C7B" w:rsidRPr="00062F2B" w:rsidRDefault="00F75236" w:rsidP="00FD54AB">
      <w:r w:rsidRPr="00062F2B">
        <w:t xml:space="preserve">In this contribution, we discussed </w:t>
      </w:r>
      <w:r w:rsidR="001C6812" w:rsidRPr="00062F2B">
        <w:t>the destination index definition in SL BSR for Rel</w:t>
      </w:r>
      <w:r w:rsidR="001D43FA">
        <w:t>-</w:t>
      </w:r>
      <w:r w:rsidR="001C6812" w:rsidRPr="00062F2B">
        <w:t>15</w:t>
      </w:r>
      <w:r w:rsidRPr="00062F2B">
        <w:t xml:space="preserve"> and proposed </w:t>
      </w:r>
      <w:r w:rsidR="00741810" w:rsidRPr="00062F2B">
        <w:t xml:space="preserve">the </w:t>
      </w:r>
      <w:r w:rsidRPr="00062F2B">
        <w:t>following</w:t>
      </w:r>
      <w:r w:rsidR="00741810" w:rsidRPr="00062F2B">
        <w:t>:</w:t>
      </w:r>
    </w:p>
    <w:p w14:paraId="5309F5CE" w14:textId="1B95AF32" w:rsidR="001C6812" w:rsidRPr="00062F2B" w:rsidRDefault="001C6812" w:rsidP="001C6812">
      <w:pPr>
        <w:jc w:val="both"/>
        <w:rPr>
          <w:b/>
        </w:rPr>
      </w:pPr>
      <w:r w:rsidRPr="00062F2B">
        <w:rPr>
          <w:b/>
        </w:rPr>
        <w:t xml:space="preserve">Proposal 1: RAN2 is kindly asked to agree the proposed change of </w:t>
      </w:r>
      <w:r w:rsidR="001D43FA">
        <w:rPr>
          <w:b/>
        </w:rPr>
        <w:t>D</w:t>
      </w:r>
      <w:r w:rsidRPr="00062F2B">
        <w:rPr>
          <w:b/>
        </w:rPr>
        <w:t xml:space="preserve">estination </w:t>
      </w:r>
      <w:r w:rsidR="001D43FA">
        <w:rPr>
          <w:b/>
        </w:rPr>
        <w:t>I</w:t>
      </w:r>
      <w:r w:rsidRPr="00062F2B">
        <w:rPr>
          <w:b/>
        </w:rPr>
        <w:t xml:space="preserve">ndex definition to have one-to-one mapping of destination ID reported in </w:t>
      </w:r>
      <w:r w:rsidRPr="00062F2B">
        <w:rPr>
          <w:b/>
          <w:i/>
        </w:rPr>
        <w:t>SidelinkUEInformation</w:t>
      </w:r>
      <w:r w:rsidRPr="00062F2B">
        <w:rPr>
          <w:b/>
        </w:rPr>
        <w:t xml:space="preserve"> and </w:t>
      </w:r>
      <w:r w:rsidR="001D43FA">
        <w:rPr>
          <w:b/>
        </w:rPr>
        <w:t>D</w:t>
      </w:r>
      <w:r w:rsidRPr="00062F2B">
        <w:rPr>
          <w:b/>
        </w:rPr>
        <w:t xml:space="preserve">estination </w:t>
      </w:r>
      <w:r w:rsidR="001D43FA">
        <w:rPr>
          <w:b/>
        </w:rPr>
        <w:t>I</w:t>
      </w:r>
      <w:r w:rsidRPr="00062F2B">
        <w:rPr>
          <w:b/>
        </w:rPr>
        <w:t>ndex used in SL BSR.</w:t>
      </w:r>
    </w:p>
    <w:p w14:paraId="165DBBD3" w14:textId="636561E1" w:rsidR="006D336C" w:rsidRPr="00486E08" w:rsidRDefault="009D1361" w:rsidP="00062F2B">
      <w:pPr>
        <w:pStyle w:val="Heading1"/>
      </w:pPr>
      <w:r w:rsidRPr="0078511C">
        <w:t>References</w:t>
      </w:r>
    </w:p>
    <w:p w14:paraId="12C9B26A" w14:textId="602E6A3C" w:rsidR="00105C04" w:rsidRPr="00062F2B" w:rsidRDefault="000F5158" w:rsidP="00062F2B">
      <w:pPr>
        <w:pStyle w:val="ListParagraph"/>
        <w:numPr>
          <w:ilvl w:val="0"/>
          <w:numId w:val="11"/>
        </w:numPr>
        <w:ind w:firstLineChars="0"/>
        <w:jc w:val="both"/>
        <w:rPr>
          <w:rFonts w:cs="Arial"/>
          <w:lang w:eastAsia="ko-KR"/>
        </w:rPr>
      </w:pPr>
      <w:r w:rsidRPr="00486E08">
        <w:t>R2-18</w:t>
      </w:r>
      <w:r w:rsidR="001D43FA">
        <w:t>04506</w:t>
      </w:r>
      <w:r w:rsidRPr="00486E08">
        <w:t xml:space="preserve"> </w:t>
      </w:r>
      <w:r w:rsidR="001D43FA" w:rsidRPr="00062F2B">
        <w:rPr>
          <w:i/>
        </w:rPr>
        <w:t>Report of 101#73 destination address enhancements</w:t>
      </w:r>
      <w:r w:rsidR="0078511C" w:rsidRPr="00062F2B">
        <w:rPr>
          <w:rFonts w:cs="Arial"/>
          <w:lang w:eastAsia="ko-KR"/>
        </w:rPr>
        <w:t xml:space="preserve">, </w:t>
      </w:r>
      <w:r w:rsidRPr="00062F2B">
        <w:rPr>
          <w:rFonts w:cs="Arial"/>
          <w:lang w:eastAsia="ko-KR"/>
        </w:rPr>
        <w:t>ZTE</w:t>
      </w:r>
      <w:r w:rsidR="001D43FA">
        <w:rPr>
          <w:rFonts w:cs="Arial"/>
          <w:lang w:eastAsia="ko-KR"/>
        </w:rPr>
        <w:t xml:space="preserve">, </w:t>
      </w:r>
      <w:r w:rsidR="001D43FA" w:rsidRPr="001D43FA">
        <w:rPr>
          <w:rFonts w:cs="Arial"/>
          <w:lang w:eastAsia="ko-KR"/>
        </w:rPr>
        <w:t>3GPP TSG-RAN WG2 Meeting #101bis</w:t>
      </w:r>
      <w:r w:rsidR="001D43FA" w:rsidRPr="001D43FA">
        <w:rPr>
          <w:rFonts w:cs="Arial"/>
          <w:lang w:eastAsia="ko-KR"/>
        </w:rPr>
        <w:tab/>
        <w:t>Sanya, China, 16th - 20th April 2018</w:t>
      </w:r>
    </w:p>
    <w:p w14:paraId="745BA274" w14:textId="727CB6CE" w:rsidR="006D336C" w:rsidRDefault="00105C04" w:rsidP="00062F2B">
      <w:pPr>
        <w:pStyle w:val="ListParagraph"/>
        <w:numPr>
          <w:ilvl w:val="0"/>
          <w:numId w:val="11"/>
        </w:numPr>
        <w:ind w:firstLineChars="0"/>
        <w:rPr>
          <w:lang w:eastAsia="zh-CN"/>
        </w:rPr>
      </w:pPr>
      <w:r w:rsidRPr="00062F2B">
        <w:rPr>
          <w:lang w:eastAsia="zh-CN"/>
        </w:rPr>
        <w:t xml:space="preserve">R2-1801857, </w:t>
      </w:r>
      <w:r w:rsidRPr="00062F2B">
        <w:rPr>
          <w:i/>
          <w:lang w:eastAsia="zh-CN"/>
        </w:rPr>
        <w:t>L2 desination address collision handling in eV2x</w:t>
      </w:r>
      <w:r w:rsidR="001D43FA">
        <w:rPr>
          <w:lang w:eastAsia="zh-CN"/>
        </w:rPr>
        <w:t xml:space="preserve"> </w:t>
      </w:r>
      <w:r w:rsidRPr="00062F2B">
        <w:rPr>
          <w:lang w:eastAsia="zh-CN"/>
        </w:rPr>
        <w:t>OPPO, Qualcomm Incorporated, ZTE Corporation</w:t>
      </w:r>
      <w:r w:rsidR="006D336C" w:rsidRPr="00062F2B">
        <w:rPr>
          <w:lang w:eastAsia="zh-CN"/>
        </w:rPr>
        <w:t>, 3GPP TSG-RAN2 Meeting #101</w:t>
      </w:r>
      <w:r w:rsidR="006D336C" w:rsidRPr="00062F2B">
        <w:rPr>
          <w:lang w:eastAsia="zh-CN"/>
        </w:rPr>
        <w:tab/>
        <w:t xml:space="preserve"> Athens, Greece, 26th February – 2nd March 2018</w:t>
      </w:r>
    </w:p>
    <w:p w14:paraId="15B11281" w14:textId="211AD97A" w:rsidR="00486E08" w:rsidRPr="0078511C" w:rsidRDefault="00486E08" w:rsidP="00062F2B">
      <w:pPr>
        <w:pStyle w:val="ListParagraph"/>
        <w:numPr>
          <w:ilvl w:val="0"/>
          <w:numId w:val="11"/>
        </w:numPr>
        <w:ind w:firstLineChars="0"/>
        <w:rPr>
          <w:lang w:eastAsia="zh-CN"/>
        </w:rPr>
      </w:pPr>
      <w:bookmarkStart w:id="1" w:name="_Ref510710532"/>
      <w:r w:rsidRPr="00486E08">
        <w:rPr>
          <w:lang w:eastAsia="zh-CN"/>
        </w:rPr>
        <w:t>3GPP TS 36.321</w:t>
      </w:r>
      <w:r w:rsidR="001D43FA">
        <w:rPr>
          <w:lang w:eastAsia="zh-CN"/>
        </w:rPr>
        <w:t xml:space="preserve"> </w:t>
      </w:r>
      <w:r w:rsidR="001D43FA" w:rsidRPr="001D43FA">
        <w:rPr>
          <w:lang w:eastAsia="zh-CN"/>
        </w:rPr>
        <w:t>Medium Access Control (MAC) protocol specification</w:t>
      </w:r>
      <w:bookmarkEnd w:id="1"/>
    </w:p>
    <w:p w14:paraId="4B18F18D" w14:textId="48944786" w:rsidR="00B015F9" w:rsidRPr="00AA651E" w:rsidRDefault="00B015F9" w:rsidP="009D1361">
      <w:pPr>
        <w:jc w:val="both"/>
        <w:rPr>
          <w:sz w:val="22"/>
          <w:szCs w:val="22"/>
        </w:rPr>
      </w:pPr>
    </w:p>
    <w:p w14:paraId="13F89F3B" w14:textId="384C5D86" w:rsidR="009D1361" w:rsidRPr="009D1361" w:rsidRDefault="009D1361" w:rsidP="00287A66">
      <w:pPr>
        <w:jc w:val="both"/>
        <w:rPr>
          <w:b/>
        </w:rPr>
      </w:pPr>
    </w:p>
    <w:sectPr w:rsidR="009D1361" w:rsidRPr="009D13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E9596" w14:textId="77777777" w:rsidR="00F723B9" w:rsidRDefault="00F723B9">
      <w:r>
        <w:separator/>
      </w:r>
    </w:p>
  </w:endnote>
  <w:endnote w:type="continuationSeparator" w:id="0">
    <w:p w14:paraId="4CC54B8F" w14:textId="77777777" w:rsidR="00F723B9" w:rsidRDefault="00F72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115B5" w14:textId="77777777" w:rsidR="00F723B9" w:rsidRDefault="00F723B9">
      <w:r>
        <w:separator/>
      </w:r>
    </w:p>
  </w:footnote>
  <w:footnote w:type="continuationSeparator" w:id="0">
    <w:p w14:paraId="09E82650" w14:textId="77777777" w:rsidR="00F723B9" w:rsidRDefault="00F72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CAE"/>
    <w:multiLevelType w:val="hybridMultilevel"/>
    <w:tmpl w:val="FC82AE02"/>
    <w:lvl w:ilvl="0" w:tplc="5A76F560">
      <w:start w:val="8"/>
      <w:numFmt w:val="bullet"/>
      <w:lvlText w:val="-"/>
      <w:lvlJc w:val="left"/>
      <w:pPr>
        <w:ind w:left="360" w:hanging="360"/>
      </w:pPr>
      <w:rPr>
        <w:rFonts w:ascii="Calibri" w:eastAsia="SimSun" w:hAnsi="Calibri" w:hint="default"/>
      </w:rPr>
    </w:lvl>
    <w:lvl w:ilvl="1" w:tplc="040B0003">
      <w:start w:val="1"/>
      <w:numFmt w:val="bullet"/>
      <w:lvlText w:val="o"/>
      <w:lvlJc w:val="left"/>
      <w:pPr>
        <w:ind w:left="1080" w:hanging="360"/>
      </w:pPr>
      <w:rPr>
        <w:rFonts w:ascii="Courier New" w:hAnsi="Courier New" w:cs="Times New Roman"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Times New Roman"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Times New Roman" w:hint="default"/>
      </w:rPr>
    </w:lvl>
    <w:lvl w:ilvl="8" w:tplc="040B0005">
      <w:start w:val="1"/>
      <w:numFmt w:val="bullet"/>
      <w:lvlText w:val=""/>
      <w:lvlJc w:val="left"/>
      <w:pPr>
        <w:ind w:left="6120" w:hanging="360"/>
      </w:pPr>
      <w:rPr>
        <w:rFonts w:ascii="Wingdings" w:hAnsi="Wingdings" w:hint="default"/>
      </w:rPr>
    </w:lvl>
  </w:abstractNum>
  <w:abstractNum w:abstractNumId="3" w15:restartNumberingAfterBreak="0">
    <w:nsid w:val="30AB57DD"/>
    <w:multiLevelType w:val="hybridMultilevel"/>
    <w:tmpl w:val="88362890"/>
    <w:lvl w:ilvl="0" w:tplc="1F6858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203DBB"/>
    <w:multiLevelType w:val="hybridMultilevel"/>
    <w:tmpl w:val="FECEB340"/>
    <w:lvl w:ilvl="0" w:tplc="9242639E">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7"/>
  </w:num>
  <w:num w:numId="7">
    <w:abstractNumId w:val="5"/>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5C8"/>
    <w:rsid w:val="00013B38"/>
    <w:rsid w:val="00024476"/>
    <w:rsid w:val="00033397"/>
    <w:rsid w:val="00040095"/>
    <w:rsid w:val="0005651B"/>
    <w:rsid w:val="000616C6"/>
    <w:rsid w:val="00062F2B"/>
    <w:rsid w:val="00065396"/>
    <w:rsid w:val="00080512"/>
    <w:rsid w:val="00090468"/>
    <w:rsid w:val="000B6833"/>
    <w:rsid w:val="000B7BCF"/>
    <w:rsid w:val="000C1AEE"/>
    <w:rsid w:val="000C522B"/>
    <w:rsid w:val="000D58AB"/>
    <w:rsid w:val="000F5158"/>
    <w:rsid w:val="0010235B"/>
    <w:rsid w:val="00105C04"/>
    <w:rsid w:val="00112F1A"/>
    <w:rsid w:val="00121D8A"/>
    <w:rsid w:val="00145075"/>
    <w:rsid w:val="00156E57"/>
    <w:rsid w:val="001741A0"/>
    <w:rsid w:val="00186554"/>
    <w:rsid w:val="00194CD0"/>
    <w:rsid w:val="00196B78"/>
    <w:rsid w:val="001A4398"/>
    <w:rsid w:val="001A5284"/>
    <w:rsid w:val="001B49C9"/>
    <w:rsid w:val="001C1F89"/>
    <w:rsid w:val="001C6812"/>
    <w:rsid w:val="001D3A55"/>
    <w:rsid w:val="001D43FA"/>
    <w:rsid w:val="001F168B"/>
    <w:rsid w:val="001F7831"/>
    <w:rsid w:val="00204045"/>
    <w:rsid w:val="00205F38"/>
    <w:rsid w:val="0020693A"/>
    <w:rsid w:val="00206E8B"/>
    <w:rsid w:val="00222F51"/>
    <w:rsid w:val="0022606D"/>
    <w:rsid w:val="00273FA9"/>
    <w:rsid w:val="002747EC"/>
    <w:rsid w:val="00275C1D"/>
    <w:rsid w:val="002855BF"/>
    <w:rsid w:val="00287A66"/>
    <w:rsid w:val="00290EC4"/>
    <w:rsid w:val="002A2CE6"/>
    <w:rsid w:val="002C0CF1"/>
    <w:rsid w:val="002F0D22"/>
    <w:rsid w:val="002F2D10"/>
    <w:rsid w:val="003135F1"/>
    <w:rsid w:val="003172DC"/>
    <w:rsid w:val="00326069"/>
    <w:rsid w:val="00333A8E"/>
    <w:rsid w:val="00337CF0"/>
    <w:rsid w:val="0035456E"/>
    <w:rsid w:val="0035462D"/>
    <w:rsid w:val="00354F53"/>
    <w:rsid w:val="003629D5"/>
    <w:rsid w:val="00364264"/>
    <w:rsid w:val="003711DF"/>
    <w:rsid w:val="0038766F"/>
    <w:rsid w:val="00387EEF"/>
    <w:rsid w:val="00394DDB"/>
    <w:rsid w:val="003B40AD"/>
    <w:rsid w:val="003C4E37"/>
    <w:rsid w:val="003E16BE"/>
    <w:rsid w:val="003E7999"/>
    <w:rsid w:val="004006E8"/>
    <w:rsid w:val="00401855"/>
    <w:rsid w:val="00414F03"/>
    <w:rsid w:val="00421D6D"/>
    <w:rsid w:val="00446437"/>
    <w:rsid w:val="00451279"/>
    <w:rsid w:val="00455842"/>
    <w:rsid w:val="00473154"/>
    <w:rsid w:val="00477455"/>
    <w:rsid w:val="00486E08"/>
    <w:rsid w:val="004B2938"/>
    <w:rsid w:val="004D3578"/>
    <w:rsid w:val="004D380D"/>
    <w:rsid w:val="004E213A"/>
    <w:rsid w:val="004E6A87"/>
    <w:rsid w:val="00503171"/>
    <w:rsid w:val="00506C28"/>
    <w:rsid w:val="00512F8A"/>
    <w:rsid w:val="00516642"/>
    <w:rsid w:val="005202BA"/>
    <w:rsid w:val="00532635"/>
    <w:rsid w:val="00534DA0"/>
    <w:rsid w:val="0053596C"/>
    <w:rsid w:val="0054381B"/>
    <w:rsid w:val="00543E6C"/>
    <w:rsid w:val="0054780D"/>
    <w:rsid w:val="00554BE7"/>
    <w:rsid w:val="00560AED"/>
    <w:rsid w:val="00565087"/>
    <w:rsid w:val="0056573F"/>
    <w:rsid w:val="00573DDC"/>
    <w:rsid w:val="005823CA"/>
    <w:rsid w:val="00590F2A"/>
    <w:rsid w:val="00592E9F"/>
    <w:rsid w:val="005A5036"/>
    <w:rsid w:val="005D45B1"/>
    <w:rsid w:val="005D5C26"/>
    <w:rsid w:val="005E0596"/>
    <w:rsid w:val="00611566"/>
    <w:rsid w:val="00646D99"/>
    <w:rsid w:val="00650FF5"/>
    <w:rsid w:val="00656910"/>
    <w:rsid w:val="00662003"/>
    <w:rsid w:val="00674B12"/>
    <w:rsid w:val="006A6710"/>
    <w:rsid w:val="006C66D8"/>
    <w:rsid w:val="006D1E24"/>
    <w:rsid w:val="006D336C"/>
    <w:rsid w:val="006E0948"/>
    <w:rsid w:val="006E1417"/>
    <w:rsid w:val="006F6A2C"/>
    <w:rsid w:val="00710201"/>
    <w:rsid w:val="007342B5"/>
    <w:rsid w:val="00734A5B"/>
    <w:rsid w:val="00740627"/>
    <w:rsid w:val="00741810"/>
    <w:rsid w:val="00744E76"/>
    <w:rsid w:val="0074516E"/>
    <w:rsid w:val="00757D40"/>
    <w:rsid w:val="00774B9F"/>
    <w:rsid w:val="00781F0F"/>
    <w:rsid w:val="0078511C"/>
    <w:rsid w:val="007865CD"/>
    <w:rsid w:val="0078727C"/>
    <w:rsid w:val="0079049D"/>
    <w:rsid w:val="007A3F3D"/>
    <w:rsid w:val="007B18D8"/>
    <w:rsid w:val="007B1E70"/>
    <w:rsid w:val="007C095F"/>
    <w:rsid w:val="007C4F97"/>
    <w:rsid w:val="007E0CF7"/>
    <w:rsid w:val="007F3B8B"/>
    <w:rsid w:val="008028A4"/>
    <w:rsid w:val="00813245"/>
    <w:rsid w:val="008231DB"/>
    <w:rsid w:val="008768CA"/>
    <w:rsid w:val="00877EF9"/>
    <w:rsid w:val="00880559"/>
    <w:rsid w:val="00896B3C"/>
    <w:rsid w:val="008B1F36"/>
    <w:rsid w:val="008B22D9"/>
    <w:rsid w:val="008B3426"/>
    <w:rsid w:val="008B5306"/>
    <w:rsid w:val="008D4EE4"/>
    <w:rsid w:val="008D55CA"/>
    <w:rsid w:val="008F4DD8"/>
    <w:rsid w:val="0090271F"/>
    <w:rsid w:val="00902DB9"/>
    <w:rsid w:val="0090466A"/>
    <w:rsid w:val="009355D6"/>
    <w:rsid w:val="00936071"/>
    <w:rsid w:val="00940212"/>
    <w:rsid w:val="00942EC2"/>
    <w:rsid w:val="00952E48"/>
    <w:rsid w:val="00961B32"/>
    <w:rsid w:val="00962DE6"/>
    <w:rsid w:val="00964034"/>
    <w:rsid w:val="00970DB3"/>
    <w:rsid w:val="00974BB0"/>
    <w:rsid w:val="009750B3"/>
    <w:rsid w:val="00983928"/>
    <w:rsid w:val="009960A3"/>
    <w:rsid w:val="009A0AF3"/>
    <w:rsid w:val="009A5248"/>
    <w:rsid w:val="009B07CD"/>
    <w:rsid w:val="009B43B6"/>
    <w:rsid w:val="009C19E9"/>
    <w:rsid w:val="009D1361"/>
    <w:rsid w:val="009D3062"/>
    <w:rsid w:val="009D74A6"/>
    <w:rsid w:val="009F6E5D"/>
    <w:rsid w:val="00A10F02"/>
    <w:rsid w:val="00A15410"/>
    <w:rsid w:val="00A204CA"/>
    <w:rsid w:val="00A26736"/>
    <w:rsid w:val="00A31D63"/>
    <w:rsid w:val="00A53724"/>
    <w:rsid w:val="00A82346"/>
    <w:rsid w:val="00A854A1"/>
    <w:rsid w:val="00A9671C"/>
    <w:rsid w:val="00AA1553"/>
    <w:rsid w:val="00AA45DF"/>
    <w:rsid w:val="00AA651E"/>
    <w:rsid w:val="00AB0837"/>
    <w:rsid w:val="00AB0F69"/>
    <w:rsid w:val="00AB75A5"/>
    <w:rsid w:val="00AC6DE7"/>
    <w:rsid w:val="00AE01F1"/>
    <w:rsid w:val="00B015F9"/>
    <w:rsid w:val="00B15449"/>
    <w:rsid w:val="00B223E3"/>
    <w:rsid w:val="00B257B4"/>
    <w:rsid w:val="00B4312A"/>
    <w:rsid w:val="00B47FD1"/>
    <w:rsid w:val="00B516BB"/>
    <w:rsid w:val="00B5275D"/>
    <w:rsid w:val="00B55D4F"/>
    <w:rsid w:val="00B85E88"/>
    <w:rsid w:val="00B95F0F"/>
    <w:rsid w:val="00BA42CF"/>
    <w:rsid w:val="00BD38D6"/>
    <w:rsid w:val="00BD5E29"/>
    <w:rsid w:val="00BD6053"/>
    <w:rsid w:val="00BF68AA"/>
    <w:rsid w:val="00C027B6"/>
    <w:rsid w:val="00C108B1"/>
    <w:rsid w:val="00C12B51"/>
    <w:rsid w:val="00C24650"/>
    <w:rsid w:val="00C33079"/>
    <w:rsid w:val="00C6361C"/>
    <w:rsid w:val="00C720DF"/>
    <w:rsid w:val="00C80B6C"/>
    <w:rsid w:val="00C83A13"/>
    <w:rsid w:val="00C85D30"/>
    <w:rsid w:val="00C9068C"/>
    <w:rsid w:val="00C920B7"/>
    <w:rsid w:val="00C92967"/>
    <w:rsid w:val="00CA3D0C"/>
    <w:rsid w:val="00CA654B"/>
    <w:rsid w:val="00CC6065"/>
    <w:rsid w:val="00CD2D1C"/>
    <w:rsid w:val="00CD4C7B"/>
    <w:rsid w:val="00CE453D"/>
    <w:rsid w:val="00CF05F5"/>
    <w:rsid w:val="00D169C6"/>
    <w:rsid w:val="00D215AC"/>
    <w:rsid w:val="00D738D6"/>
    <w:rsid w:val="00D80795"/>
    <w:rsid w:val="00D854BE"/>
    <w:rsid w:val="00D8618D"/>
    <w:rsid w:val="00D87E00"/>
    <w:rsid w:val="00D9134D"/>
    <w:rsid w:val="00D96D11"/>
    <w:rsid w:val="00DA3FC7"/>
    <w:rsid w:val="00DA7A03"/>
    <w:rsid w:val="00DB1818"/>
    <w:rsid w:val="00DB57EF"/>
    <w:rsid w:val="00DB661C"/>
    <w:rsid w:val="00DC309B"/>
    <w:rsid w:val="00DC4DA2"/>
    <w:rsid w:val="00DF4B10"/>
    <w:rsid w:val="00E05E84"/>
    <w:rsid w:val="00E21B5C"/>
    <w:rsid w:val="00E3417B"/>
    <w:rsid w:val="00E400A2"/>
    <w:rsid w:val="00E62835"/>
    <w:rsid w:val="00E67F7A"/>
    <w:rsid w:val="00E77645"/>
    <w:rsid w:val="00E83697"/>
    <w:rsid w:val="00EB01DC"/>
    <w:rsid w:val="00EC4A25"/>
    <w:rsid w:val="00EE2A45"/>
    <w:rsid w:val="00F025A2"/>
    <w:rsid w:val="00F07388"/>
    <w:rsid w:val="00F1535F"/>
    <w:rsid w:val="00F2026E"/>
    <w:rsid w:val="00F2210A"/>
    <w:rsid w:val="00F30CBD"/>
    <w:rsid w:val="00F31532"/>
    <w:rsid w:val="00F37743"/>
    <w:rsid w:val="00F40B62"/>
    <w:rsid w:val="00F457BF"/>
    <w:rsid w:val="00F54A3D"/>
    <w:rsid w:val="00F54CB0"/>
    <w:rsid w:val="00F6471A"/>
    <w:rsid w:val="00F653B8"/>
    <w:rsid w:val="00F71B89"/>
    <w:rsid w:val="00F723B9"/>
    <w:rsid w:val="00F7353C"/>
    <w:rsid w:val="00F74E95"/>
    <w:rsid w:val="00F75236"/>
    <w:rsid w:val="00F76F8F"/>
    <w:rsid w:val="00F92899"/>
    <w:rsid w:val="00F93C2D"/>
    <w:rsid w:val="00F96842"/>
    <w:rsid w:val="00FA1266"/>
    <w:rsid w:val="00FB36FA"/>
    <w:rsid w:val="00FB771A"/>
    <w:rsid w:val="00FC1192"/>
    <w:rsid w:val="00FC3223"/>
    <w:rsid w:val="00FD54AB"/>
    <w:rsid w:val="00FF4B18"/>
    <w:rsid w:val="00FF72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 w:type="paragraph" w:customStyle="1" w:styleId="Doc-text2">
    <w:name w:val="Doc-text2"/>
    <w:basedOn w:val="Normal"/>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 w:type="character" w:customStyle="1" w:styleId="B1Char">
    <w:name w:val="B1 Char"/>
    <w:link w:val="B1"/>
    <w:rsid w:val="008B1F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480">
      <w:bodyDiv w:val="1"/>
      <w:marLeft w:val="0"/>
      <w:marRight w:val="0"/>
      <w:marTop w:val="0"/>
      <w:marBottom w:val="0"/>
      <w:divBdr>
        <w:top w:val="none" w:sz="0" w:space="0" w:color="auto"/>
        <w:left w:val="none" w:sz="0" w:space="0" w:color="auto"/>
        <w:bottom w:val="none" w:sz="0" w:space="0" w:color="auto"/>
        <w:right w:val="none" w:sz="0" w:space="0" w:color="auto"/>
      </w:divBdr>
    </w:div>
    <w:div w:id="695279526">
      <w:bodyDiv w:val="1"/>
      <w:marLeft w:val="0"/>
      <w:marRight w:val="0"/>
      <w:marTop w:val="0"/>
      <w:marBottom w:val="0"/>
      <w:divBdr>
        <w:top w:val="none" w:sz="0" w:space="0" w:color="auto"/>
        <w:left w:val="none" w:sz="0" w:space="0" w:color="auto"/>
        <w:bottom w:val="none" w:sz="0" w:space="0" w:color="auto"/>
        <w:right w:val="none" w:sz="0" w:space="0" w:color="auto"/>
      </w:divBdr>
    </w:div>
    <w:div w:id="1340232860">
      <w:bodyDiv w:val="1"/>
      <w:marLeft w:val="0"/>
      <w:marRight w:val="0"/>
      <w:marTop w:val="0"/>
      <w:marBottom w:val="0"/>
      <w:divBdr>
        <w:top w:val="none" w:sz="0" w:space="0" w:color="auto"/>
        <w:left w:val="none" w:sz="0" w:space="0" w:color="auto"/>
        <w:bottom w:val="none" w:sz="0" w:space="0" w:color="auto"/>
        <w:right w:val="none" w:sz="0" w:space="0" w:color="auto"/>
      </w:divBdr>
    </w:div>
    <w:div w:id="193307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5AIRPNAIUNRU-4072616-96</_dlc_DocId>
    <_dlc_DocIdUrl xmlns="71c5aaf6-e6ce-465b-b873-5148d2a4c105">
      <Url>https://nokia.sharepoint.com/sites/c5g/projects/VE2E/_layouts/15/DocIdRedir.aspx?ID=5AIRPNAIUNRU-4072616-96</Url>
      <Description>5AIRPNAIUNRU-4072616-96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F49CA7942C5945BD9B8C4DABCA0A68" ma:contentTypeVersion="9" ma:contentTypeDescription="Create a new document." ma:contentTypeScope="" ma:versionID="9b8affb9990f78eaf840fad54ab10775">
  <xsd:schema xmlns:xsd="http://www.w3.org/2001/XMLSchema" xmlns:xs="http://www.w3.org/2001/XMLSchema" xmlns:p="http://schemas.microsoft.com/office/2006/metadata/properties" xmlns:ns2="71c5aaf6-e6ce-465b-b873-5148d2a4c105" xmlns:ns3="3b34c8f0-1ef5-4d1e-bb66-517ce7fe7356" xmlns:ns4="a0673f61-d2c3-48e4-8fae-643210338acb" targetNamespace="http://schemas.microsoft.com/office/2006/metadata/properties" ma:root="true" ma:fieldsID="c5722d50a2d030902d7dce7a6ac415b7" ns2:_="" ns3:_="" ns4:_="">
    <xsd:import namespace="71c5aaf6-e6ce-465b-b873-5148d2a4c105"/>
    <xsd:import namespace="3b34c8f0-1ef5-4d1e-bb66-517ce7fe7356"/>
    <xsd:import namespace="a0673f61-d2c3-48e4-8fae-643210338ac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4:MediaServiceMetadata" minOccurs="0"/>
                <xsd:element ref="ns4:MediaServiceFastMetadata"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673f61-d2c3-48e4-8fae-643210338ac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84CC-30D2-4B99-B81F-795C84FA372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8740605-9BCC-4BED-90B9-30C9FECE0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0673f61-d2c3-48e4-8fae-643210338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EC40C-9925-4E18-A170-FA6AF66E12D8}">
  <ds:schemaRefs>
    <ds:schemaRef ds:uri="Microsoft.SharePoint.Taxonomy.ContentTypeSync"/>
  </ds:schemaRefs>
</ds:datastoreItem>
</file>

<file path=customXml/itemProps4.xml><?xml version="1.0" encoding="utf-8"?>
<ds:datastoreItem xmlns:ds="http://schemas.openxmlformats.org/officeDocument/2006/customXml" ds:itemID="{95B139A2-EF25-4669-B62D-AE3C3F58694E}">
  <ds:schemaRefs>
    <ds:schemaRef ds:uri="http://schemas.microsoft.com/sharepoint/events"/>
  </ds:schemaRefs>
</ds:datastoreItem>
</file>

<file path=customXml/itemProps5.xml><?xml version="1.0" encoding="utf-8"?>
<ds:datastoreItem xmlns:ds="http://schemas.openxmlformats.org/officeDocument/2006/customXml" ds:itemID="{13CDC2C6-C037-43C7-AB15-3BD76A49B0C2}">
  <ds:schemaRefs>
    <ds:schemaRef ds:uri="http://schemas.microsoft.com/sharepoint/v3/contenttype/forms"/>
  </ds:schemaRefs>
</ds:datastoreItem>
</file>

<file path=customXml/itemProps6.xml><?xml version="1.0" encoding="utf-8"?>
<ds:datastoreItem xmlns:ds="http://schemas.openxmlformats.org/officeDocument/2006/customXml" ds:itemID="{F4965DAA-19F6-4756-B347-3B3CA55B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4</cp:revision>
  <dcterms:created xsi:type="dcterms:W3CDTF">2018-04-06T06:07:00Z</dcterms:created>
  <dcterms:modified xsi:type="dcterms:W3CDTF">2018-04-06T06:35:00Z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0x01010033F49CA7942C5945BD9B8C4DABCA0A68</vt:lpwstr>
  </property>
  <property fmtid="{D5CDD505-2E9C-101B-9397-08002B2CF9AE}" pid="3" name="_dlc_DocIdItemGuid">
    <vt:lpwstr>e7c3f786-73b0-4d99-a081-3f589b7f2bd3</vt:lpwstr>
  </property>
</Properties>
</file>